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5" w:rsidRPr="00D573A5" w:rsidRDefault="00D573A5" w:rsidP="00D573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bookmarkStart w:id="0" w:name="_GoBack"/>
      <w:bookmarkEnd w:id="0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:rsidR="00D573A5" w:rsidRPr="00D573A5" w:rsidRDefault="00D573A5" w:rsidP="00D573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noProof/>
          <w:color w:val="1888EF"/>
          <w:sz w:val="20"/>
          <w:szCs w:val="20"/>
          <w:lang w:eastAsia="ru-RU"/>
        </w:rPr>
        <w:drawing>
          <wp:inline distT="0" distB="0" distL="0" distR="0" wp14:anchorId="184B5341" wp14:editId="1CC5A009">
            <wp:extent cx="1133475" cy="695325"/>
            <wp:effectExtent l="0" t="0" r="9525" b="9525"/>
            <wp:docPr id="2" name="Рисунок 2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траницы Экологическое воспитание и формирование экологической культуры в области обращения с ТК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b/>
          <w:bCs/>
          <w:color w:val="0C0C0C"/>
          <w:sz w:val="20"/>
          <w:szCs w:val="20"/>
          <w:lang w:eastAsia="ru-RU"/>
        </w:rPr>
        <w:t>Экологическое просвещение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br/>
        <w:t>К</w:t>
      </w:r>
      <w:proofErr w:type="gram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нормирование и разрешительная деятельность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создание системы экологического аудита;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Информация об экологических сайтах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Ecocom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— все об экологии</w:t>
      </w:r>
    </w:p>
    <w:p w:rsidR="00D573A5" w:rsidRPr="00D573A5" w:rsidRDefault="00EC6F5F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7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http://www.ecocommunity.ru/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FacePla.net — экологический дайджест позитивной информации об экологии и технологии</w:t>
      </w:r>
    </w:p>
    <w:p w:rsidR="00D573A5" w:rsidRPr="00D573A5" w:rsidRDefault="00EC6F5F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8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http://facepla.net/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Saveplanet.su – «Сохраним планету»</w:t>
      </w:r>
    </w:p>
    <w:p w:rsidR="00D573A5" w:rsidRPr="00D573A5" w:rsidRDefault="00EC6F5F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9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http://www.saveplanet.su/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Всемирный фонд дикой природы (WWF)</w:t>
      </w:r>
    </w:p>
    <w:p w:rsidR="00D573A5" w:rsidRPr="00D573A5" w:rsidRDefault="00EC6F5F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0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http://wwf.panda.org/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Гринпис России</w:t>
      </w:r>
    </w:p>
    <w:p w:rsidR="00D573A5" w:rsidRPr="00D573A5" w:rsidRDefault="00EC6F5F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1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http://www.greenpeace.org/russia/ru</w:t>
        </w:r>
      </w:hyperlink>
      <w:r w:rsidR="00D573A5"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/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Министерство природных ресурсов России</w:t>
      </w:r>
    </w:p>
    <w:p w:rsidR="00D573A5" w:rsidRPr="00D573A5" w:rsidRDefault="00EC6F5F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2" w:history="1">
        <w:r w:rsidR="00D573A5"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http://www.mnr.gov.ru/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В подсистему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природоресурсного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законодательства входят: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Земельный кодекс РФ (ФЗ № 136 от 25.10.2001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Закон РФ от 21 февраля 1992 г. № 2395-1 «О недрах»,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Лесной кодекс РФ (ФЗ № 200 от 04.12.2006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Водный кодекс Р</w:t>
      </w: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Ф(</w:t>
      </w:r>
      <w:proofErr w:type="gram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ФЗ № 74 от 03.06.2006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Законе закрепляются следующие правовые положения: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·основы управления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·экономическое регулирование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·нормирование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·оценка воздействия на окружающую среду и экологическая экспертиза;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·зоны экологического бедствия, зоны чрезвычайных ситуаций;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·контроль в области охраны окружающей среды (экологический контроль);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·научные исследования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·основы формирования экологической культуры;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·международное сотрудничество в области охраны окружающей среды.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природоресурсного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</w:t>
      </w: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 xml:space="preserve">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экологизация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экологизацией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Уважаемые жители! Берегите природу и ее экологическое состояние!</w:t>
      </w:r>
    </w:p>
    <w:p w:rsidR="007A7D9F" w:rsidRDefault="007A7D9F"/>
    <w:sectPr w:rsidR="007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D9"/>
    <w:rsid w:val="007A7D9F"/>
    <w:rsid w:val="00CA4DD9"/>
    <w:rsid w:val="00D573A5"/>
    <w:rsid w:val="00E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3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reenpeace.org/russia/ru" TargetMode="External"/><Relationship Id="rId5" Type="http://schemas.openxmlformats.org/officeDocument/2006/relationships/hyperlink" Target="https://iengra.sakha.gov.ru/uploads/631/86e79d1f02a0d02fb10167d716bb44d25a83bb73.png" TargetMode="Externa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Ратмир</dc:creator>
  <cp:lastModifiedBy>BEST</cp:lastModifiedBy>
  <cp:revision>2</cp:revision>
  <dcterms:created xsi:type="dcterms:W3CDTF">2021-05-11T05:32:00Z</dcterms:created>
  <dcterms:modified xsi:type="dcterms:W3CDTF">2021-05-11T05:32:00Z</dcterms:modified>
</cp:coreProperties>
</file>